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AB051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AB051A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:rsidRPr="00AA15F1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Pr="00AA15F1" w:rsidRDefault="004F411E" w:rsidP="004F411E">
            <w:pPr>
              <w:ind w:left="89"/>
              <w:rPr>
                <w:b/>
                <w:bCs/>
                <w:lang w:val="pt-BR"/>
              </w:rPr>
            </w:pPr>
          </w:p>
          <w:p w14:paraId="24633985" w14:textId="77777777" w:rsidR="00AB051A" w:rsidRDefault="004F411E" w:rsidP="009607DA">
            <w:pPr>
              <w:spacing w:line="276" w:lineRule="auto"/>
              <w:ind w:left="89"/>
              <w:jc w:val="both"/>
              <w:rPr>
                <w:rStyle w:val="Forte"/>
                <w:color w:val="000000"/>
              </w:rPr>
            </w:pPr>
            <w:r w:rsidRPr="00AA1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Imóvel:</w:t>
            </w:r>
            <w:r w:rsidR="005B630A" w:rsidRPr="00AA15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051A">
              <w:rPr>
                <w:rStyle w:val="Forte"/>
                <w:color w:val="000000"/>
              </w:rPr>
              <w:t>ICCE – Instituto de Criminalista Carlos Éboli</w:t>
            </w:r>
          </w:p>
          <w:p w14:paraId="4B712419" w14:textId="4E82B636" w:rsidR="00AB051A" w:rsidRDefault="004F411E" w:rsidP="009607DA">
            <w:pPr>
              <w:spacing w:line="276" w:lineRule="auto"/>
              <w:ind w:left="89"/>
              <w:jc w:val="both"/>
              <w:rPr>
                <w:rStyle w:val="Forte"/>
                <w:color w:val="000000"/>
              </w:rPr>
            </w:pPr>
            <w:r w:rsidRPr="00AA1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Endereço: </w:t>
            </w:r>
            <w:r w:rsidR="00AB051A">
              <w:rPr>
                <w:rStyle w:val="Forte"/>
                <w:color w:val="000000"/>
              </w:rPr>
              <w:t>Rua Pedro I, n° 28, Centro</w:t>
            </w:r>
          </w:p>
          <w:p w14:paraId="27B02881" w14:textId="0F2BF3C8" w:rsidR="004F411E" w:rsidRPr="00AA15F1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Município: </w:t>
            </w:r>
            <w:r w:rsidR="00AB051A">
              <w:rPr>
                <w:rStyle w:val="Forte"/>
                <w:color w:val="000000"/>
              </w:rPr>
              <w:t>Rio de Janeiro</w:t>
            </w:r>
          </w:p>
          <w:p w14:paraId="2C0EB2CF" w14:textId="77777777" w:rsidR="004F411E" w:rsidRPr="00AA15F1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0F2293" w14:textId="546CEAD4" w:rsidR="00AA15F1" w:rsidRPr="00AA15F1" w:rsidRDefault="004F411E" w:rsidP="00AA15F1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A1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Objeto</w:t>
            </w:r>
            <w:r w:rsidR="0059516B" w:rsidRPr="00AA1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: </w:t>
            </w:r>
            <w:r w:rsidR="00AB051A" w:rsidRPr="00AB051A">
              <w:rPr>
                <w:b/>
                <w:bCs/>
                <w:color w:val="000000"/>
              </w:rPr>
              <w:t>CONTRATAÇÃO DE EMPRESA ESPECIALIZADA NO RAMO DE ENGENHARIA, PARA EXECUÇÃO DA REFORMA GERAL, ATENDENDO AS NORMAS TÉCNICAS VIGENTES, ASSIM COMO SOLICITAÇÕES DA DIREÇÃO DO ICCE, DA SEPOL E DO MINISTÉRIO PÚBLICO DO ESTADO DO RIO DE JANEIRO.</w:t>
            </w:r>
          </w:p>
        </w:tc>
      </w:tr>
    </w:tbl>
    <w:p w14:paraId="22B9B283" w14:textId="77777777" w:rsidR="004F411E" w:rsidRPr="004F411E" w:rsidRDefault="00AB051A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293.6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0E8650DB" w14:textId="58660AF1" w:rsid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A CONTRATADA deverá apresentar Certidão de Acervo Técnico- CAT, emitida pelo CAU/CREA, de ter realizado:</w:t>
                  </w:r>
                </w:p>
                <w:p w14:paraId="5DBEA77A" w14:textId="77777777" w:rsid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7"/>
                      <w:szCs w:val="27"/>
                    </w:rPr>
                  </w:pPr>
                </w:p>
                <w:p w14:paraId="51D8A6A4" w14:textId="0918CB75" w:rsid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AB051A">
                    <w:rPr>
                      <w:b/>
                      <w:bCs/>
                      <w:color w:val="000000"/>
                      <w:sz w:val="27"/>
                      <w:szCs w:val="27"/>
                    </w:rPr>
                    <w:t>- Reforma em edificação com as características semelhantes ao objeto da licitação, com área de construção mínima de 2.000,00 m2.</w:t>
                  </w:r>
                </w:p>
                <w:p w14:paraId="1741F523" w14:textId="77777777" w:rsidR="00AB051A" w:rsidRP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b/>
                      <w:bCs/>
                      <w:color w:val="000000"/>
                      <w:sz w:val="27"/>
                      <w:szCs w:val="27"/>
                    </w:rPr>
                  </w:pPr>
                </w:p>
                <w:p w14:paraId="7F7DCD8C" w14:textId="1C3340C0" w:rsid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AB051A">
                    <w:rPr>
                      <w:b/>
                      <w:bCs/>
                      <w:color w:val="000000"/>
                      <w:sz w:val="27"/>
                      <w:szCs w:val="27"/>
                    </w:rPr>
                    <w:t xml:space="preserve">- Deverá ainda comprovar a realização de pequenos reparos estruturais, obedecendo a práticas usuais de apicoamentos, </w:t>
                  </w:r>
                  <w:r w:rsidRPr="00AB051A">
                    <w:rPr>
                      <w:b/>
                      <w:bCs/>
                      <w:color w:val="000000"/>
                      <w:sz w:val="27"/>
                      <w:szCs w:val="27"/>
                    </w:rPr>
                    <w:t>limpezas, aplicação</w:t>
                  </w:r>
                  <w:r w:rsidRPr="00AB051A">
                    <w:rPr>
                      <w:b/>
                      <w:bCs/>
                      <w:color w:val="000000"/>
                      <w:sz w:val="27"/>
                      <w:szCs w:val="27"/>
                    </w:rPr>
                    <w:t xml:space="preserve"> de produtos inibidores de corrosão, soldagem a frio de barras estruturais, recomposição de recobrimentos utilizando argamassas poliméricas e injeção de fissuras.</w:t>
                  </w:r>
                </w:p>
                <w:p w14:paraId="2513F132" w14:textId="77777777" w:rsidR="00AB051A" w:rsidRP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b/>
                      <w:bCs/>
                      <w:color w:val="000000"/>
                      <w:sz w:val="27"/>
                      <w:szCs w:val="27"/>
                    </w:rPr>
                  </w:pPr>
                </w:p>
                <w:p w14:paraId="18436A40" w14:textId="77777777" w:rsidR="00AB051A" w:rsidRDefault="00AB051A" w:rsidP="00AB051A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A quantidade acima constitue se limite mínimo, correspondente a 50% da área da obra em questão, em conformidade com o previsto no item II, do Art. 58 da Lei 13.303/2016, e em alinhamento com o Acórdão 1771/2007 do TCU.</w:t>
                  </w:r>
                </w:p>
                <w:p w14:paraId="7AF64D57" w14:textId="77777777" w:rsidR="005A0062" w:rsidRPr="00566B97" w:rsidRDefault="005A0062" w:rsidP="00566B97">
                  <w:pPr>
                    <w:spacing w:line="276" w:lineRule="auto"/>
                    <w:ind w:right="92"/>
                    <w:jc w:val="both"/>
                    <w:rPr>
                      <w:iCs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79134085">
    <w:abstractNumId w:val="0"/>
  </w:num>
  <w:num w:numId="2" w16cid:durableId="794716786">
    <w:abstractNumId w:val="1"/>
  </w:num>
  <w:num w:numId="3" w16cid:durableId="39100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2742B"/>
    <w:rsid w:val="001248CE"/>
    <w:rsid w:val="001254E1"/>
    <w:rsid w:val="001A793A"/>
    <w:rsid w:val="001F2A52"/>
    <w:rsid w:val="00383342"/>
    <w:rsid w:val="00452767"/>
    <w:rsid w:val="00482210"/>
    <w:rsid w:val="004A5956"/>
    <w:rsid w:val="004B6AD8"/>
    <w:rsid w:val="004F411E"/>
    <w:rsid w:val="005450F0"/>
    <w:rsid w:val="00566B97"/>
    <w:rsid w:val="0059516B"/>
    <w:rsid w:val="005A0062"/>
    <w:rsid w:val="005B630A"/>
    <w:rsid w:val="00692B9C"/>
    <w:rsid w:val="00707F35"/>
    <w:rsid w:val="0071164D"/>
    <w:rsid w:val="00864DD4"/>
    <w:rsid w:val="00871E42"/>
    <w:rsid w:val="008C660B"/>
    <w:rsid w:val="008F7C72"/>
    <w:rsid w:val="00921623"/>
    <w:rsid w:val="009607DA"/>
    <w:rsid w:val="00990E4A"/>
    <w:rsid w:val="00AA15F1"/>
    <w:rsid w:val="00AA43DB"/>
    <w:rsid w:val="00AB051A"/>
    <w:rsid w:val="00B260BE"/>
    <w:rsid w:val="00CC6E92"/>
    <w:rsid w:val="00D94DAD"/>
    <w:rsid w:val="00DE7934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D503BBE4-8B9E-42C8-83DE-02CF86D5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18</cp:revision>
  <cp:lastPrinted>2022-01-18T15:34:00Z</cp:lastPrinted>
  <dcterms:created xsi:type="dcterms:W3CDTF">2022-05-18T19:48:00Z</dcterms:created>
  <dcterms:modified xsi:type="dcterms:W3CDTF">2022-09-02T14:50:00Z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